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bookmarkStart w:id="0" w:name="_GoBack"/>
      <w:bookmarkEnd w:id="0"/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Samia KASSAB-CHARFI (Université de Tunis)</w:t>
      </w:r>
    </w:p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kern w:val="2"/>
          <w:sz w:val="24"/>
          <w:szCs w:val="24"/>
          <w14:ligatures w14:val="standardContextual"/>
        </w:rPr>
      </w:pPr>
    </w:p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INTITULE DU PROJET DE RECHERCHE : </w:t>
      </w:r>
    </w:p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</w:p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b/>
          <w:bCs/>
          <w:caps/>
          <w:kern w:val="2"/>
          <w:sz w:val="24"/>
          <w:szCs w:val="24"/>
          <w14:ligatures w14:val="standardContextual"/>
        </w:rPr>
      </w:pPr>
      <w:r w:rsidRPr="0015368E">
        <w:rPr>
          <w:rFonts w:ascii="Garamond" w:eastAsia="Calibri" w:hAnsi="Garamond" w:cs="Arial"/>
          <w:b/>
          <w:bCs/>
          <w:caps/>
          <w:kern w:val="2"/>
          <w:sz w:val="24"/>
          <w:szCs w:val="24"/>
          <w14:ligatures w14:val="standardContextual"/>
        </w:rPr>
        <w:t>Plurilinguisme et écologie transculturelle : le travail de la littérature francophone maghrébine</w:t>
      </w:r>
    </w:p>
    <w:p w:rsidR="0015368E" w:rsidRPr="0015368E" w:rsidRDefault="0015368E" w:rsidP="0015368E">
      <w:pPr>
        <w:spacing w:after="0" w:line="36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</w:p>
    <w:p w:rsidR="0015368E" w:rsidRPr="0015368E" w:rsidRDefault="0015368E" w:rsidP="0015368E">
      <w:pPr>
        <w:spacing w:after="0" w:line="24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La Présentation que nous proposons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est basé</w:t>
      </w: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e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sur les recherches que nous avons effectuées – et que nous poursuivo</w:t>
      </w: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ns – depuis plusieurs années. Elle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s’inscrit de manière privilégiée dans l’intérêt pour la culture plurilingue développée par l’Université Bordeaux Montaigne où sont enseignées – c’est assez rare pou</w:t>
      </w:r>
      <w:r w:rsidR="006903C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r être souligné – 23 langues. Elle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s’intègre également de manière préférentielle dans certaines problématiques soulevées par les Équipes de recherche que nous mentionnerons. </w:t>
      </w:r>
    </w:p>
    <w:p w:rsidR="00C77EA2" w:rsidRDefault="006903CE" w:rsidP="0015368E">
      <w:pPr>
        <w:spacing w:after="0" w:line="24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Cette Présentation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consiste</w:t>
      </w: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ra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d’abord en un questionnement sur les origines de la notion de </w:t>
      </w:r>
      <w:r w:rsidR="0015368E" w:rsidRPr="006903CE">
        <w:rPr>
          <w:rFonts w:ascii="Garamond" w:eastAsia="Calibri" w:hAnsi="Garamond" w:cs="Arial"/>
          <w:b/>
          <w:bCs/>
          <w:i/>
          <w:kern w:val="2"/>
          <w:sz w:val="24"/>
          <w:szCs w:val="24"/>
          <w14:ligatures w14:val="standardContextual"/>
        </w:rPr>
        <w:t>plurilinguisme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, à partir d’exemples tirés de l’Histoire méditerranéenne et euro-méditerranéenne (du XIIème au XVIIème siècle) qui attestent, à rebours de toute représentation homogène de la langue d’écriture, de modèles d’encastrement assez </w:t>
      </w:r>
      <w:proofErr w:type="gramStart"/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étonnants</w:t>
      </w:r>
      <w:proofErr w:type="gramEnd"/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(langue d’écriture et langue de culture entrelacées). Ces modèles – transnationaux avant la lettre – ont été presque totalement gommés des schèmes identificatoires à partir desquels l’image des langues nationales s’est constituée.</w:t>
      </w:r>
    </w:p>
    <w:p w:rsidR="0015368E" w:rsidRDefault="0015368E" w:rsidP="0015368E">
      <w:pPr>
        <w:spacing w:after="0" w:line="24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Nous nous proposerons </w:t>
      </w:r>
      <w:r w:rsidR="006903C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en particulier</w:t>
      </w: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dans cette présentation :</w:t>
      </w:r>
    </w:p>
    <w:p w:rsidR="0015368E" w:rsidRPr="0015368E" w:rsidRDefault="0015368E" w:rsidP="0015368E">
      <w:pPr>
        <w:spacing w:after="0" w:line="240" w:lineRule="auto"/>
        <w:ind w:firstLine="708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- 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d’examiner les postures réactionnelles liées à la perception et à la représentation de la langue telles qu’elles transparaissent dans l’écriture d’auteurs confrontés à une forme d’exil interne ou externe et exposés de fait aux situations de transferts et/ou superpositions interculturels,</w:t>
      </w:r>
      <w:r w:rsidR="006903C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notamment en contexte maghrébin,</w:t>
      </w:r>
    </w:p>
    <w:p w:rsidR="0015368E" w:rsidRDefault="006903CE" w:rsidP="0015368E">
      <w:pPr>
        <w:spacing w:after="0" w:line="240" w:lineRule="auto"/>
        <w:ind w:left="720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- 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d’élucider le caractère transnational des intertextes en partage dans ces littératures, </w:t>
      </w:r>
    </w:p>
    <w:p w:rsidR="0015368E" w:rsidRPr="0015368E" w:rsidRDefault="006903CE" w:rsidP="0015368E">
      <w:pPr>
        <w:spacing w:after="0" w:line="240" w:lineRule="auto"/>
        <w:ind w:left="720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- d’évaluer dans quelle mesure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ces corpus exemplifient « le bilinguisme </w:t>
      </w:r>
      <w:proofErr w:type="gramStart"/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interne  à</w:t>
      </w:r>
      <w:proofErr w:type="gramEnd"/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toute langue » (Khatibi, </w:t>
      </w:r>
      <w:r w:rsidR="0015368E" w:rsidRPr="0015368E">
        <w:rPr>
          <w:rFonts w:ascii="Garamond" w:eastAsia="Calibri" w:hAnsi="Garamond" w:cs="Arial"/>
          <w:b/>
          <w:bCs/>
          <w:i/>
          <w:iCs/>
          <w:kern w:val="2"/>
          <w:sz w:val="24"/>
          <w:szCs w:val="24"/>
          <w14:ligatures w14:val="standardContextual"/>
        </w:rPr>
        <w:t>Maghreb pluriel</w:t>
      </w:r>
      <w:r w:rsidR="0015368E"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, p. 188), générant des effets de pluralité qui ont fort à voir avec les effets mêmes de la traduction,</w:t>
      </w:r>
    </w:p>
    <w:p w:rsidR="0015368E" w:rsidRPr="0015368E" w:rsidRDefault="0015368E" w:rsidP="0015368E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proofErr w:type="gramStart"/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d’apprécier</w:t>
      </w:r>
      <w:proofErr w:type="gramEnd"/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la manière dont les différents « imaginaires linguistiques » en présence chez l’écrivain bi/plurilingue sont mobilisés, et comment cette </w:t>
      </w:r>
      <w:proofErr w:type="spellStart"/>
      <w:r w:rsidRPr="0015368E">
        <w:rPr>
          <w:rFonts w:ascii="Garamond" w:eastAsia="Calibri" w:hAnsi="Garamond" w:cs="Arial"/>
          <w:b/>
          <w:bCs/>
          <w:iCs/>
          <w:kern w:val="2"/>
          <w:sz w:val="24"/>
          <w:szCs w:val="24"/>
          <w14:ligatures w14:val="standardContextual"/>
        </w:rPr>
        <w:t>co-opération</w:t>
      </w:r>
      <w:proofErr w:type="spellEnd"/>
      <w:r w:rsidRPr="0015368E">
        <w:rPr>
          <w:rFonts w:ascii="Garamond" w:eastAsia="Calibri" w:hAnsi="Garamond" w:cs="Arial"/>
          <w:b/>
          <w:bCs/>
          <w:iCs/>
          <w:kern w:val="2"/>
          <w:sz w:val="24"/>
          <w:szCs w:val="24"/>
          <w14:ligatures w14:val="standardContextual"/>
        </w:rPr>
        <w:t xml:space="preserve"> s’effectue 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dans un même espace textuel transformé en atelier d’hybridité (Sherry Simon 2014), devenant l’indice primordial de leur « condition interculturelle », notamment en situation d’exil.  </w:t>
      </w:r>
    </w:p>
    <w:p w:rsidR="0015368E" w:rsidRPr="0015368E" w:rsidRDefault="0015368E" w:rsidP="0015368E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Enfin, </w:t>
      </w:r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de déterminer l’importance d’inclure une approche « </w:t>
      </w:r>
      <w:proofErr w:type="spellStart"/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>échopoétique</w:t>
      </w:r>
      <w:proofErr w:type="spellEnd"/>
      <w:r w:rsidRPr="0015368E"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 transculturelle » (Suchet 2021) dans la lecture de ces littératures, c’est-à-dire une approche qui ouvre à la perception des échos d’autres langues dans la sienne (incluant la prise en compte de l’accent ; cf. Régine Robin, « Écrire f</w:t>
      </w:r>
      <w:r>
        <w:rPr>
          <w:rFonts w:ascii="Garamond" w:eastAsia="Calibri" w:hAnsi="Garamond" w:cs="Arial"/>
          <w:b/>
          <w:bCs/>
          <w:kern w:val="2"/>
          <w:sz w:val="24"/>
          <w:szCs w:val="24"/>
          <w14:ligatures w14:val="standardContextual"/>
        </w:rPr>
        <w:t xml:space="preserve">rançais avec un accent », 2014). </w:t>
      </w:r>
    </w:p>
    <w:p w:rsidR="0015368E" w:rsidRDefault="0015368E" w:rsidP="0015368E">
      <w:pPr>
        <w:spacing w:after="0" w:line="240" w:lineRule="auto"/>
        <w:jc w:val="both"/>
      </w:pPr>
    </w:p>
    <w:sectPr w:rsidR="0015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DD" w:rsidRDefault="009753DD" w:rsidP="0015368E">
      <w:pPr>
        <w:spacing w:after="0" w:line="240" w:lineRule="auto"/>
      </w:pPr>
      <w:r>
        <w:separator/>
      </w:r>
    </w:p>
  </w:endnote>
  <w:endnote w:type="continuationSeparator" w:id="0">
    <w:p w:rsidR="009753DD" w:rsidRDefault="009753DD" w:rsidP="0015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DD" w:rsidRDefault="009753DD" w:rsidP="0015368E">
      <w:pPr>
        <w:spacing w:after="0" w:line="240" w:lineRule="auto"/>
      </w:pPr>
      <w:r>
        <w:separator/>
      </w:r>
    </w:p>
  </w:footnote>
  <w:footnote w:type="continuationSeparator" w:id="0">
    <w:p w:rsidR="009753DD" w:rsidRDefault="009753DD" w:rsidP="0015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60AB"/>
    <w:multiLevelType w:val="hybridMultilevel"/>
    <w:tmpl w:val="7C66CD82"/>
    <w:lvl w:ilvl="0" w:tplc="3F7602D2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E"/>
    <w:rsid w:val="0015368E"/>
    <w:rsid w:val="006903CE"/>
    <w:rsid w:val="009753DD"/>
    <w:rsid w:val="00A03D29"/>
    <w:rsid w:val="00C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EFBA-2740-4551-8AA3-A77AF04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368E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368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368E"/>
    <w:rPr>
      <w:kern w:val="2"/>
      <w:sz w:val="20"/>
      <w:szCs w:val="20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153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Florence Boulerie</cp:lastModifiedBy>
  <cp:revision>2</cp:revision>
  <dcterms:created xsi:type="dcterms:W3CDTF">2024-01-10T15:15:00Z</dcterms:created>
  <dcterms:modified xsi:type="dcterms:W3CDTF">2024-01-10T15:15:00Z</dcterms:modified>
</cp:coreProperties>
</file>